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9C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Практическая работа для группы 4021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«Схема принципиальная кинематическая. Силовая головка»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На листе бумаги формата А</w:t>
      </w:r>
      <w:proofErr w:type="gramStart"/>
      <w:r w:rsidRPr="003E3731">
        <w:rPr>
          <w:sz w:val="28"/>
          <w:szCs w:val="28"/>
        </w:rPr>
        <w:t>3 ,</w:t>
      </w:r>
      <w:proofErr w:type="gramEnd"/>
      <w:r w:rsidRPr="003E3731">
        <w:rPr>
          <w:sz w:val="28"/>
          <w:szCs w:val="28"/>
        </w:rPr>
        <w:t xml:space="preserve"> оформленном в соответствии с ГОСТ 2.104-68 ЕСКД Основные надписи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Оборудование: Карандаши М–B, ТМ–HB и Т–H, линейка, рейсшина, угольники, циркуль, кронциркуль, точилка, лист чертёжной бумаги формата А-3.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Кинематические схемы устанавливают состав механизмов и поясняют взаимодействие их эле­ментов.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На рис.  представлена кинематическая при­нципиальная схема (с более подробным оформле­нием) механизма подачи сверла силовой головки.</w:t>
      </w:r>
    </w:p>
    <w:p w:rsidR="003E3731" w:rsidRPr="003E3731" w:rsidRDefault="003E3731" w:rsidP="003E3731">
      <w:pPr>
        <w:rPr>
          <w:sz w:val="28"/>
          <w:szCs w:val="28"/>
        </w:rPr>
      </w:pP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В схеме применены условные графические обозначения элементов машин и механизмов по ГОСТ 2.770-68.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Правила выполнения кинематических схем изложены в ГОСТ 2.703–68.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Соотношение размеров условных графических обозначений взаимодействующих элементов на схеме должно примерно соответствовать действи­тельному соотношению размеров этих элементов в изделии.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На кинематических схемах валы, оси, стержни, шатуны, кривошипы и т.п. изображают сплошны­ми основными линиями толщиной s. Элементы, изображаемые условно и упрощенно, выполняют сплошными линиями толщиной s/2.</w:t>
      </w:r>
    </w:p>
    <w:p w:rsidR="003E3731" w:rsidRPr="003E3731" w:rsidRDefault="003E3731" w:rsidP="003E3731">
      <w:pPr>
        <w:rPr>
          <w:sz w:val="28"/>
          <w:szCs w:val="28"/>
        </w:rPr>
      </w:pPr>
      <w:r w:rsidRPr="003E3731">
        <w:rPr>
          <w:sz w:val="28"/>
          <w:szCs w:val="28"/>
        </w:rPr>
        <w:t>Кинематические схемы выполняют, как прави­ло, в виде развертки: все геометрические оси ус­ловно считаются расположенными в одной плос­кости или в параллельных плоскостях.</w:t>
      </w:r>
    </w:p>
    <w:p w:rsidR="003E3731" w:rsidRDefault="003E3731" w:rsidP="003E3731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F03293">
            <wp:extent cx="5964912" cy="44763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07" cy="448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E3731" w:rsidRDefault="003E3731">
      <w:r>
        <w:t xml:space="preserve">Время </w:t>
      </w:r>
      <w:proofErr w:type="gramStart"/>
      <w:r>
        <w:t>выполнения  4</w:t>
      </w:r>
      <w:proofErr w:type="gramEnd"/>
      <w:r>
        <w:t xml:space="preserve"> часа</w:t>
      </w:r>
    </w:p>
    <w:sectPr w:rsidR="003E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31"/>
    <w:rsid w:val="003E3731"/>
    <w:rsid w:val="00E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9340"/>
  <w15:chartTrackingRefBased/>
  <w15:docId w15:val="{A9B97DD8-CEB7-4164-A147-D177D95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2020-03-22T16:17:00Z</dcterms:created>
  <dcterms:modified xsi:type="dcterms:W3CDTF">2020-03-22T16:21:00Z</dcterms:modified>
</cp:coreProperties>
</file>