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>Россия на рубеже XIX—XX вв.</w:t>
      </w:r>
    </w:p>
    <w:p w:rsid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70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821">
        <w:rPr>
          <w:rFonts w:ascii="Times New Roman" w:hAnsi="Times New Roman" w:cs="Times New Roman"/>
          <w:bCs/>
          <w:sz w:val="28"/>
          <w:szCs w:val="28"/>
        </w:rPr>
        <w:t xml:space="preserve">Опираясь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данный текст и предложенную литературу, презентацию составьте конспект урока и ответьте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вопросы :</w:t>
      </w:r>
      <w:proofErr w:type="gramEnd"/>
    </w:p>
    <w:p w:rsid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Какие основные оппозиционные партии вы можете выделить и на какой слой населения они опирались? </w:t>
      </w:r>
    </w:p>
    <w:p w:rsid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Почему начинаются массовые крестьянские и рабочие волнения?</w:t>
      </w:r>
    </w:p>
    <w:p w:rsid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Причины поражения в Русско-японской войне?  </w:t>
      </w:r>
    </w:p>
    <w:p w:rsidR="00032821" w:rsidRP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Ответы присылать к 30. 03 на почту </w:t>
      </w:r>
      <w:hyperlink r:id="rId4" w:history="1">
        <w:r w:rsidRPr="00B527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Raziel</w:t>
        </w:r>
        <w:r w:rsidRPr="00032821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Pr="00B527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x</w:t>
        </w:r>
        <w:r w:rsidRPr="0003282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B527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0328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527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03282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032821" w:rsidRPr="00032821" w:rsidRDefault="00032821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2C70" w:rsidRPr="00DE6505" w:rsidRDefault="00EC2C70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экономического развития России в </w:t>
      </w:r>
      <w:proofErr w:type="spellStart"/>
      <w:r w:rsidRPr="00DE6505">
        <w:rPr>
          <w:rFonts w:ascii="Times New Roman" w:hAnsi="Times New Roman" w:cs="Times New Roman"/>
          <w:b/>
          <w:bCs/>
          <w:sz w:val="28"/>
          <w:szCs w:val="28"/>
        </w:rPr>
        <w:t>начале</w:t>
      </w:r>
      <w:r w:rsidRPr="00DE650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</w:t>
      </w:r>
      <w:r w:rsidRPr="00DE6505"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Одной из главных особенностей экономики России в начале XX в. стала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высокая концентрация промышленного производства. Более половины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всех фабрично-заводских рабочих было занято на крупных предприятиях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 числом рабочих свыше 500 на каждом. На этой основе ускорилось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развитие монополистических объединений. Металлургический синдикат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Продамета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» сосредоточил в своих руках свыше 85 % сбыта готового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металла. На долю трех объединений нефтяной промышленности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приходилось 86 % всех акционерных капиталов и 60 % добычи нефти.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Усилился процесс слияния промышленного капитала с банковским. Но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пережитки крепостничества тормозили рост производительных сил, к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тому же росла зависимость России от иностранных капиталов.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Экономика России быстро развивалась, но ее отставание от ведущих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держав не уменьшилось. По промышленному производству на душу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населения Россия стояла на одном уровне с Испанией — одной из самых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отсталых стран Европы. В общественном мнении это отставание все чаще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связывали с особенностями политического строя России. В начале XX 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она оставалась одним из немногих государств с неограниченной властью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монарха. Очень многое в таких странах зависит от личности главы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Николай II. </w:t>
      </w:r>
      <w:r w:rsidRPr="00DE6505">
        <w:rPr>
          <w:rFonts w:ascii="Times New Roman" w:hAnsi="Times New Roman" w:cs="Times New Roman"/>
          <w:sz w:val="28"/>
          <w:szCs w:val="28"/>
        </w:rPr>
        <w:t>Вступившему на престол в 1894 г. императору Николаю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Александровичу Романову было 26 лет. Он был женат на гессенской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принцессе Алисе, принявшей в крещении имя Александра Федоровна. От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брака с ней родилось четыре дочери и в 1904 г. сын Алексей.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Идеологическими постулатами Николая II были знаменитые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«православие, самодержавие и народность». Царская власть принималась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как данная Богом. Николай II был убежден, что Россия не готова к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введению представительных учреждений или конституции. Парламент он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считал бессмысленной и бестолковой говорильней.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Тем не менее вступление на престол Николая II с надеждой было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встречено либеральной общественностью, которая высказывалась за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участие представителей земств в органах государственной власти,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осторожно говорилось о желании народного представительства. Однако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эти надежды оказались тщетными. Николай II заявил, что будет всемерно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укреплять устои самодержавия.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Оппозиционные организации. </w:t>
      </w:r>
      <w:r w:rsidRPr="00DE6505">
        <w:rPr>
          <w:rFonts w:ascii="Times New Roman" w:hAnsi="Times New Roman" w:cs="Times New Roman"/>
          <w:sz w:val="28"/>
          <w:szCs w:val="28"/>
        </w:rPr>
        <w:t>Значительная часть русского об-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05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находилась в оппозиции к власти. И если в крайних левых партиях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и эмиграции звучал крайний лозунг («Долой самодержавие!»), то 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легальных изданиях он принимал форму нападок на «бюрократию».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Среди левой оппозиции было два главных течения. В 1902 г. на-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6505">
        <w:rPr>
          <w:rFonts w:ascii="Times New Roman" w:hAnsi="Times New Roman" w:cs="Times New Roman"/>
          <w:sz w:val="28"/>
          <w:szCs w:val="28"/>
        </w:rPr>
        <w:t>роднические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организации объединились в </w:t>
      </w:r>
      <w:r w:rsidRPr="00DE6505">
        <w:rPr>
          <w:rFonts w:ascii="Times New Roman" w:hAnsi="Times New Roman" w:cs="Times New Roman"/>
          <w:i/>
          <w:iCs/>
          <w:sz w:val="28"/>
          <w:szCs w:val="28"/>
        </w:rPr>
        <w:t>партию социалистов-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i/>
          <w:iCs/>
          <w:sz w:val="28"/>
          <w:szCs w:val="28"/>
        </w:rPr>
        <w:t xml:space="preserve">революционеров {эсеров). </w:t>
      </w:r>
      <w:r w:rsidRPr="00DE6505">
        <w:rPr>
          <w:rFonts w:ascii="Times New Roman" w:hAnsi="Times New Roman" w:cs="Times New Roman"/>
          <w:sz w:val="28"/>
          <w:szCs w:val="28"/>
        </w:rPr>
        <w:t>Они делали ставку на крестьянство, мечтали 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новой «пугачевщине» и о восстании в воинских частях. Для возбуждения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народа и ослабления государственного аппарата эсеры широко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практиковали террор. Лидером эсеров был В. М. Чернов, организаторами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террора считались Е. А.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Азеф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(оказавшийся агентом полиции) и Б. 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Савинков. Социалисты-революционеры в начале XX в. убили министров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Д.С.Сипягина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, В. К. Плеве. Ни одно из крестьянских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волнений не обходилось без представителей эсеровской партии.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В 1903 г. организационно оформилась </w:t>
      </w:r>
      <w:r w:rsidRPr="00DE6505">
        <w:rPr>
          <w:rFonts w:ascii="Times New Roman" w:hAnsi="Times New Roman" w:cs="Times New Roman"/>
          <w:i/>
          <w:iCs/>
          <w:sz w:val="28"/>
          <w:szCs w:val="28"/>
        </w:rPr>
        <w:t>Российская социал-</w:t>
      </w:r>
      <w:proofErr w:type="spellStart"/>
      <w:r w:rsidRPr="00DE6505">
        <w:rPr>
          <w:rFonts w:ascii="Times New Roman" w:hAnsi="Times New Roman" w:cs="Times New Roman"/>
          <w:i/>
          <w:iCs/>
          <w:sz w:val="28"/>
          <w:szCs w:val="28"/>
        </w:rPr>
        <w:t>демок</w:t>
      </w:r>
      <w:proofErr w:type="spellEnd"/>
      <w:r w:rsidRPr="00DE6505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05">
        <w:rPr>
          <w:rFonts w:ascii="Times New Roman" w:hAnsi="Times New Roman" w:cs="Times New Roman"/>
          <w:i/>
          <w:iCs/>
          <w:sz w:val="28"/>
          <w:szCs w:val="28"/>
        </w:rPr>
        <w:t>ратическая</w:t>
      </w:r>
      <w:proofErr w:type="spellEnd"/>
      <w:r w:rsidRPr="00DE6505">
        <w:rPr>
          <w:rFonts w:ascii="Times New Roman" w:hAnsi="Times New Roman" w:cs="Times New Roman"/>
          <w:i/>
          <w:iCs/>
          <w:sz w:val="28"/>
          <w:szCs w:val="28"/>
        </w:rPr>
        <w:t xml:space="preserve"> рабочая партия </w:t>
      </w:r>
      <w:r w:rsidRPr="00DE6505">
        <w:rPr>
          <w:rFonts w:ascii="Times New Roman" w:hAnsi="Times New Roman" w:cs="Times New Roman"/>
          <w:sz w:val="28"/>
          <w:szCs w:val="28"/>
        </w:rPr>
        <w:t>(РСДРП). Социал-демократы, опираясь на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учение К. Маркса, считали главной силой будущей революции рабочий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класс. Члены партии в основном находились в эмиграции. Оттуда 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Россию поступали газеты и другая литература, которая распространялась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среди рабочих и интеллигенции. Вскоре после образования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социал-демократической партии она раскололась на два течения —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большевиков и меньшевиков. Лидером большевиков стал В. И. Ульянов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(Ленин). Среди руководителей меньшевиков, стоящих на более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умеренных позициях, выделялся Л. Мартов (Ю.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О.Цедербаум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), к ним же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примыкал Г. В. Плеханов.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Российские либеральные круги также становились на путь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не-</w:t>
      </w:r>
      <w:proofErr w:type="spellEnd"/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lastRenderedPageBreak/>
        <w:t>легальной борьбы, принимавшей все более радикальный характер. С июня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1902 г. в Штутгарте под редакцией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П.Б.Струве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стал издаваться журнал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«Освобождение». Главной организацией либералов стал </w:t>
      </w:r>
      <w:r w:rsidRPr="00DE6505">
        <w:rPr>
          <w:rFonts w:ascii="Times New Roman" w:hAnsi="Times New Roman" w:cs="Times New Roman"/>
          <w:i/>
          <w:iCs/>
          <w:sz w:val="28"/>
          <w:szCs w:val="28"/>
        </w:rPr>
        <w:t>«Союз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6505">
        <w:rPr>
          <w:rFonts w:ascii="Times New Roman" w:hAnsi="Times New Roman" w:cs="Times New Roman"/>
          <w:i/>
          <w:iCs/>
          <w:sz w:val="28"/>
          <w:szCs w:val="28"/>
        </w:rPr>
        <w:t>Освобождения».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Рабочее движение. </w:t>
      </w:r>
      <w:r w:rsidRPr="00DE6505">
        <w:rPr>
          <w:rFonts w:ascii="Times New Roman" w:hAnsi="Times New Roman" w:cs="Times New Roman"/>
          <w:sz w:val="28"/>
          <w:szCs w:val="28"/>
        </w:rPr>
        <w:t>В начале XX в. резко усилилось рабочее движение.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Рабочие выдвигали экономические требования: увеличение оплаты труда,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введение медицинского страхования и охраны труда и т.д. Волнения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приобретали все более организованный характер. 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социалисты-революционеры, и социал-демократы старались использовать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волнения рабочих в своих целях. К экономическим лозунгам добавлялись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политические: «Долой самодержавие!», «Да здравствует социализм!».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Особенно ярким событием стали волнения рабочих на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Обуховском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заводе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в столице России Петербурге в 1901 г. (так называемая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оборона).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Некоторые из представителей власти первыми решили начать диалог с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рабочими. Одним из них был полковник С. В.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. Было решено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легализовать рабочие организации, создать кассы взаимопомощи.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Зубатовские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» организации приняли участие в нескольких забастовках.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Вопреки замыслу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его организации стали на деле одной из сил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революционного лагеря.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Крестьянские волнения. </w:t>
      </w:r>
      <w:r w:rsidRPr="00DE6505">
        <w:rPr>
          <w:rFonts w:ascii="Times New Roman" w:hAnsi="Times New Roman" w:cs="Times New Roman"/>
          <w:sz w:val="28"/>
          <w:szCs w:val="28"/>
        </w:rPr>
        <w:t>В конце XIX столетия Россия — давний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поставщик хлеба на европейский рынок — столкнулась с конкуренцией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других хлебных поставщиков. Это ударило по хозяйствам помещиков 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крестьян. Крестьянские хозяйства пострадали именно в тех губерниях, где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у крестьян было более всего земли. Ситуация усугубилась несколькими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неурожайными годами. В Малороссии (Полтавской и Харьковской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губерниях) в 1903 г. начались массовые крестьянские волнения. Крестьяне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разграбили около 80 имений помещиков, угоняли скот, захватывали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земли. Волнения были подавлены войсками.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политика. </w:t>
      </w:r>
      <w:r w:rsidRPr="00DE6505">
        <w:rPr>
          <w:rFonts w:ascii="Times New Roman" w:hAnsi="Times New Roman" w:cs="Times New Roman"/>
          <w:sz w:val="28"/>
          <w:szCs w:val="28"/>
        </w:rPr>
        <w:t>Россия развивала дружественные связи с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Францией, покровительствовала Эфиопии, сражающейся против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итальянских интервентов, помогала бурам, выступившим против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англичан за независимость своей родины. В 1899 г. Россия выступила с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инициативой созвать мирную конференцию. Она была созвана в Гааге.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Русский представитель предлагал не увеличивать в течение ближайших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пяти лет количество войск и расходы военного бюджета. Большая часть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европейских держав возражала России. Единственным успехом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конференции было принятие декларации о запрещении разрывных пуль,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метании взрывчатых снарядов с воздушных шаров и употреблении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снарядов с удушливыми газами. Пересмотрены были декларации 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законах и обычаях ведения войны, о мирном разрешении международных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споров.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Проводя достаточно осторожную внешнюю политику в Европе,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Россия стремилась усилить свое влияние в Восточной Азии. Заключив 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1896 г. оборонительный союз с Китаем, Россия получила право на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строительство КВЖД через территорию Маньчжурии из Забайкалья до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Владивостока. Однако на дальневосточные территории претендовали и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другие державы, прежде всего Япония. В ходе войны с Китаем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(1894—1895) Япония усилила свое влияние в Корее, захватила ряд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китайских земель, включая Ляодунский полуостров. Под давлением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России японцы были вынуждены освободить эти территории. В 1898 г.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русское правительство заключило с Китаем договор об аренде на 25 лет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Ляодунского полуострова, где началось строительство русской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тихоокеанской военно-морской базы Порт-Артур и торгового порта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Дальний. Япония, заручившись поддержкой Англии и США, начала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ленно готовиться к войне с Россией.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b/>
          <w:bCs/>
          <w:sz w:val="28"/>
          <w:szCs w:val="28"/>
        </w:rPr>
        <w:t xml:space="preserve">Русско-японская война 1904—1905 гг. </w:t>
      </w:r>
      <w:r w:rsidRPr="00DE6505">
        <w:rPr>
          <w:rFonts w:ascii="Times New Roman" w:hAnsi="Times New Roman" w:cs="Times New Roman"/>
          <w:sz w:val="28"/>
          <w:szCs w:val="28"/>
        </w:rPr>
        <w:t>Военные действия начались 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январе 1904 г. внезапным нападением японских эсминцев на русские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корабли в китайских и корейских портах (Чемульпо, Порт-Артур).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Русский флот понес существенные потери.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 апреле 1904 г. японские войска высадились на Ляодунском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полуострове, где начались бои, а затем и осада Порт-Артура, од-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новременно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происходили боевые действия в Маньчжурии.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Во время русско-японской войны в русской армии остро ощущалась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нехватка талантливых военачальников. Герой крейсера «Варяг»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В.Руднев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,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герой Порт-Артура Р. О. Кондратенко и адмирал С. О. Макаров были лишь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несколькими звездами на фоне остального генералитета, проигравшего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почти все сражения.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 решения командующего Маньчжурской армией генерала А. Н.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Куропаткина постоянно вмешивался адмирал Е.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И.Алексеев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, назначенный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командующим вооруженными силами на Дальнем Востоке. В конце 1904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г. японские войска начали наступление на Порт-Артур, 30-тысячный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гарнизон которого выдержал 11-месячную осаду. Только предательство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генерала А.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М.Стесселя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, который вопреки воле военного совета сдал 20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декабря 1904 г. крепость, помогло противнику сосредоточить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значительную массу своих войск, снятых с осады, против русской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Маньчжурской армии.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В начале февраля 1905 г. русская Маньчжурская армия начала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наступление. Но сражение под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Мукденом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 xml:space="preserve"> было проиграно.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Между тем к берегам Японии приближались русские эскадры с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Балтики. Однако их корабли уступали японским по качеству брони, в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скорости и дальнобойности артиллерии. В мае 1905 г. в Корейском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проливе у острова Цусима произошло сражение, в ходе которого японский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флот разгромил русскую Тихоокеанскую эскадру.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Русская делегация во главе с председателем министров </w:t>
      </w:r>
      <w:proofErr w:type="spellStart"/>
      <w:r w:rsidRPr="00DE6505">
        <w:rPr>
          <w:rFonts w:ascii="Times New Roman" w:hAnsi="Times New Roman" w:cs="Times New Roman"/>
          <w:sz w:val="28"/>
          <w:szCs w:val="28"/>
        </w:rPr>
        <w:t>С.Ю.</w:t>
      </w:r>
      <w:proofErr w:type="gramStart"/>
      <w:r w:rsidRPr="00DE6505">
        <w:rPr>
          <w:rFonts w:ascii="Times New Roman" w:hAnsi="Times New Roman" w:cs="Times New Roman"/>
          <w:sz w:val="28"/>
          <w:szCs w:val="28"/>
        </w:rPr>
        <w:t>Вит</w:t>
      </w:r>
      <w:proofErr w:type="spellEnd"/>
      <w:r w:rsidRPr="00DE6505">
        <w:rPr>
          <w:rFonts w:ascii="Times New Roman" w:hAnsi="Times New Roman" w:cs="Times New Roman"/>
          <w:sz w:val="28"/>
          <w:szCs w:val="28"/>
        </w:rPr>
        <w:t>- те</w:t>
      </w:r>
      <w:proofErr w:type="gramEnd"/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отбыла в американский город Портсмут, который был выбран местом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переговоров. Россия уступала Японии арендные права на Южную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Маньчжурию, половину острова Сахалин и признавала Корею зоной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японского влияния. В русском обществе считалось, что война позорно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проиграна, армия и флот ни на что не годны.</w:t>
      </w:r>
    </w:p>
    <w:p w:rsidR="00DE6505" w:rsidRPr="00DE6505" w:rsidRDefault="00DE6505" w:rsidP="00DE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>Поражение в русско-японской войне стало одной из главных причин</w:t>
      </w:r>
    </w:p>
    <w:p w:rsidR="00F82F02" w:rsidRPr="00DE6505" w:rsidRDefault="00DE6505" w:rsidP="00DE6505">
      <w:pPr>
        <w:rPr>
          <w:rFonts w:ascii="Times New Roman" w:hAnsi="Times New Roman" w:cs="Times New Roman"/>
          <w:sz w:val="28"/>
          <w:szCs w:val="28"/>
        </w:rPr>
      </w:pPr>
      <w:r w:rsidRPr="00DE6505">
        <w:rPr>
          <w:rFonts w:ascii="Times New Roman" w:hAnsi="Times New Roman" w:cs="Times New Roman"/>
          <w:sz w:val="28"/>
          <w:szCs w:val="28"/>
        </w:rPr>
        <w:t xml:space="preserve">первой российской </w:t>
      </w:r>
      <w:proofErr w:type="gramStart"/>
      <w:r w:rsidRPr="00DE6505">
        <w:rPr>
          <w:rFonts w:ascii="Times New Roman" w:hAnsi="Times New Roman" w:cs="Times New Roman"/>
          <w:sz w:val="28"/>
          <w:szCs w:val="28"/>
        </w:rPr>
        <w:t>революции._</w:t>
      </w:r>
      <w:proofErr w:type="gramEnd"/>
      <w:r w:rsidRPr="00DE6505">
        <w:rPr>
          <w:rFonts w:ascii="Times New Roman" w:hAnsi="Times New Roman" w:cs="Times New Roman"/>
          <w:sz w:val="28"/>
          <w:szCs w:val="28"/>
        </w:rPr>
        <w:t>_</w:t>
      </w:r>
    </w:p>
    <w:sectPr w:rsidR="00F82F02" w:rsidRPr="00DE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1"/>
    <w:rsid w:val="00032821"/>
    <w:rsid w:val="00581E31"/>
    <w:rsid w:val="00DE6505"/>
    <w:rsid w:val="00EC2C70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416B-2873-4033-9FE5-D6EB750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iel_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2020-03-25T07:49:00Z</dcterms:created>
  <dcterms:modified xsi:type="dcterms:W3CDTF">2020-03-25T08:16:00Z</dcterms:modified>
</cp:coreProperties>
</file>